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1D3F" w14:textId="77777777" w:rsidR="005D2A6C" w:rsidRDefault="005D2A6C">
      <w:pPr>
        <w:rPr>
          <w:b/>
          <w:sz w:val="20"/>
          <w:szCs w:val="20"/>
        </w:rPr>
      </w:pPr>
    </w:p>
    <w:p w14:paraId="5CDCD992" w14:textId="77777777" w:rsidR="005D2A6C" w:rsidRDefault="005D2A6C">
      <w:pPr>
        <w:rPr>
          <w:b/>
          <w:sz w:val="20"/>
          <w:szCs w:val="20"/>
        </w:rPr>
      </w:pPr>
    </w:p>
    <w:p w14:paraId="1F938E28" w14:textId="77777777" w:rsidR="005D2A6C" w:rsidRDefault="005D2A6C">
      <w:pPr>
        <w:rPr>
          <w:b/>
          <w:sz w:val="20"/>
          <w:szCs w:val="20"/>
        </w:rPr>
      </w:pPr>
    </w:p>
    <w:p w14:paraId="7AC15F62" w14:textId="77777777" w:rsidR="005D2A6C" w:rsidRDefault="005D2A6C">
      <w:pPr>
        <w:rPr>
          <w:b/>
          <w:sz w:val="20"/>
          <w:szCs w:val="20"/>
        </w:rPr>
      </w:pPr>
    </w:p>
    <w:p w14:paraId="67751E0C" w14:textId="77777777"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14:paraId="130E9E7C" w14:textId="77777777"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14:paraId="29C34213" w14:textId="77777777" w:rsidTr="009A5D04">
        <w:trPr>
          <w:trHeight w:val="300"/>
        </w:trPr>
        <w:tc>
          <w:tcPr>
            <w:tcW w:w="3380" w:type="dxa"/>
            <w:tcBorders>
              <w:top w:val="nil"/>
              <w:left w:val="nil"/>
              <w:bottom w:val="nil"/>
              <w:right w:val="nil"/>
            </w:tcBorders>
            <w:shd w:val="clear" w:color="auto" w:fill="auto"/>
            <w:noWrap/>
            <w:vAlign w:val="bottom"/>
            <w:hideMark/>
          </w:tcPr>
          <w:p w14:paraId="32E2B2A5"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3DEC353D" w14:textId="77777777"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14:paraId="246E4EEA" w14:textId="77777777" w:rsidTr="009A5D04">
        <w:trPr>
          <w:trHeight w:val="300"/>
        </w:trPr>
        <w:tc>
          <w:tcPr>
            <w:tcW w:w="3380" w:type="dxa"/>
            <w:tcBorders>
              <w:top w:val="nil"/>
              <w:left w:val="nil"/>
              <w:bottom w:val="nil"/>
              <w:right w:val="nil"/>
            </w:tcBorders>
            <w:shd w:val="clear" w:color="auto" w:fill="auto"/>
            <w:noWrap/>
            <w:vAlign w:val="bottom"/>
            <w:hideMark/>
          </w:tcPr>
          <w:p w14:paraId="42CA8F5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6FEAF963" w14:textId="77777777"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14:paraId="42AD5F78" w14:textId="77777777" w:rsidTr="009A5D04">
        <w:trPr>
          <w:trHeight w:val="300"/>
        </w:trPr>
        <w:tc>
          <w:tcPr>
            <w:tcW w:w="3380" w:type="dxa"/>
            <w:tcBorders>
              <w:top w:val="nil"/>
              <w:left w:val="nil"/>
              <w:bottom w:val="nil"/>
              <w:right w:val="nil"/>
            </w:tcBorders>
            <w:shd w:val="clear" w:color="auto" w:fill="auto"/>
            <w:noWrap/>
            <w:vAlign w:val="bottom"/>
            <w:hideMark/>
          </w:tcPr>
          <w:p w14:paraId="36D63BE7"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53C4DF0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7B761A12" w14:textId="77777777" w:rsidTr="009A5D04">
        <w:trPr>
          <w:trHeight w:val="300"/>
        </w:trPr>
        <w:tc>
          <w:tcPr>
            <w:tcW w:w="3380" w:type="dxa"/>
            <w:tcBorders>
              <w:top w:val="nil"/>
              <w:left w:val="nil"/>
              <w:bottom w:val="nil"/>
              <w:right w:val="nil"/>
            </w:tcBorders>
            <w:shd w:val="clear" w:color="auto" w:fill="auto"/>
            <w:noWrap/>
            <w:vAlign w:val="bottom"/>
            <w:hideMark/>
          </w:tcPr>
          <w:p w14:paraId="10345A76"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7F0881"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3C014630" w14:textId="77777777" w:rsidTr="00E8434A">
        <w:trPr>
          <w:trHeight w:val="300"/>
        </w:trPr>
        <w:tc>
          <w:tcPr>
            <w:tcW w:w="3380" w:type="dxa"/>
            <w:tcBorders>
              <w:top w:val="nil"/>
              <w:left w:val="nil"/>
              <w:bottom w:val="nil"/>
              <w:right w:val="nil"/>
            </w:tcBorders>
            <w:shd w:val="clear" w:color="auto" w:fill="auto"/>
            <w:noWrap/>
            <w:vAlign w:val="bottom"/>
            <w:hideMark/>
          </w:tcPr>
          <w:p w14:paraId="7CD3233D"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4AFBE15B"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14E46E59" w14:textId="77777777" w:rsidTr="009A5D04">
        <w:trPr>
          <w:trHeight w:val="300"/>
        </w:trPr>
        <w:tc>
          <w:tcPr>
            <w:tcW w:w="3380" w:type="dxa"/>
            <w:tcBorders>
              <w:top w:val="nil"/>
              <w:left w:val="nil"/>
              <w:bottom w:val="nil"/>
              <w:right w:val="nil"/>
            </w:tcBorders>
            <w:shd w:val="clear" w:color="auto" w:fill="auto"/>
            <w:noWrap/>
            <w:vAlign w:val="bottom"/>
          </w:tcPr>
          <w:p w14:paraId="17EE6905"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14:paraId="303FA688" w14:textId="77777777"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14:paraId="3CC5A90A" w14:textId="77777777" w:rsidTr="009A5D04">
        <w:trPr>
          <w:trHeight w:val="300"/>
        </w:trPr>
        <w:tc>
          <w:tcPr>
            <w:tcW w:w="3380" w:type="dxa"/>
            <w:tcBorders>
              <w:top w:val="nil"/>
              <w:left w:val="nil"/>
              <w:bottom w:val="nil"/>
              <w:right w:val="nil"/>
            </w:tcBorders>
            <w:shd w:val="clear" w:color="auto" w:fill="auto"/>
            <w:noWrap/>
            <w:vAlign w:val="bottom"/>
          </w:tcPr>
          <w:p w14:paraId="1A6A15FD" w14:textId="77777777"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72DA5396" w14:textId="77777777" w:rsidR="00C66603" w:rsidRPr="005D2A6C" w:rsidRDefault="005D2A6C" w:rsidP="00124B9A">
            <w:pPr>
              <w:spacing w:after="0" w:line="240" w:lineRule="auto"/>
              <w:rPr>
                <w:rFonts w:eastAsia="Times New Roman" w:cs="Calibri"/>
                <w:i/>
                <w:color w:val="000000"/>
                <w:sz w:val="20"/>
                <w:szCs w:val="20"/>
              </w:rPr>
            </w:pPr>
            <w:commentRangeStart w:id="0"/>
            <w:r w:rsidRPr="005D2A6C">
              <w:rPr>
                <w:rFonts w:eastAsia="Times New Roman" w:cs="Calibri"/>
                <w:i/>
                <w:color w:val="000000"/>
                <w:sz w:val="20"/>
                <w:szCs w:val="20"/>
              </w:rPr>
              <w:t>Day – Month - Year</w:t>
            </w:r>
            <w:commentRangeEnd w:id="0"/>
            <w:r w:rsidR="00690F4B">
              <w:rPr>
                <w:rStyle w:val="CommentReference"/>
              </w:rPr>
              <w:commentReference w:id="0"/>
            </w:r>
          </w:p>
        </w:tc>
      </w:tr>
    </w:tbl>
    <w:p w14:paraId="05F2AEBE"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3B8F91D7" w14:textId="77777777" w:rsidTr="005D2A6C">
        <w:trPr>
          <w:trHeight w:val="323"/>
        </w:trPr>
        <w:tc>
          <w:tcPr>
            <w:tcW w:w="14170" w:type="dxa"/>
          </w:tcPr>
          <w:p w14:paraId="4A2654C9" w14:textId="77777777"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14:paraId="6E5244AB" w14:textId="77777777" w:rsidTr="005D2A6C">
        <w:trPr>
          <w:trHeight w:val="184"/>
        </w:trPr>
        <w:tc>
          <w:tcPr>
            <w:tcW w:w="14170" w:type="dxa"/>
            <w:tcBorders>
              <w:bottom w:val="single" w:sz="4" w:space="0" w:color="auto"/>
            </w:tcBorders>
          </w:tcPr>
          <w:p w14:paraId="0DDAB163" w14:textId="77777777"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14:paraId="19D3D2FF" w14:textId="77777777"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14:paraId="652151A0" w14:textId="77777777"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57736D98" w14:textId="77777777" w:rsidTr="00A23DF6">
        <w:tc>
          <w:tcPr>
            <w:tcW w:w="14708" w:type="dxa"/>
            <w:gridSpan w:val="5"/>
            <w:tcBorders>
              <w:bottom w:val="single" w:sz="4" w:space="0" w:color="auto"/>
            </w:tcBorders>
            <w:shd w:val="clear" w:color="auto" w:fill="BDD6EE" w:themeFill="accent1" w:themeFillTint="66"/>
          </w:tcPr>
          <w:p w14:paraId="4A454A8E" w14:textId="77777777"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14:paraId="5F4A04D9" w14:textId="77777777"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14:paraId="35A8DBD0" w14:textId="77777777" w:rsidR="00B879CF" w:rsidRPr="00B879CF" w:rsidRDefault="0096255C" w:rsidP="0096255C">
            <w:pPr>
              <w:pStyle w:val="ListParagraph"/>
              <w:numPr>
                <w:ilvl w:val="0"/>
                <w:numId w:val="10"/>
              </w:numPr>
              <w:rPr>
                <w:rFonts w:cstheme="minorHAnsi"/>
                <w:sz w:val="20"/>
                <w:szCs w:val="20"/>
                <w:u w:val="single"/>
              </w:rPr>
            </w:pPr>
            <w:commentRangeStart w:id="1"/>
            <w:r>
              <w:rPr>
                <w:rFonts w:cstheme="minorHAnsi"/>
                <w:sz w:val="20"/>
                <w:szCs w:val="20"/>
              </w:rPr>
              <w:t>Number of</w:t>
            </w:r>
            <w:r w:rsidR="00B879CF">
              <w:rPr>
                <w:rFonts w:cstheme="minorHAnsi"/>
                <w:sz w:val="20"/>
                <w:szCs w:val="20"/>
              </w:rPr>
              <w:t xml:space="preserve"> recruited staff</w:t>
            </w:r>
          </w:p>
          <w:p w14:paraId="2A059261" w14:textId="77777777"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p>
          <w:p w14:paraId="32CD6895" w14:textId="77777777"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p>
          <w:p w14:paraId="0D31F1B3"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p>
          <w:p w14:paraId="50122423"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p>
          <w:p w14:paraId="630130D3" w14:textId="77777777"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p>
          <w:p w14:paraId="3FBAEDE3"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p>
          <w:p w14:paraId="0144F223"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p>
          <w:p w14:paraId="4D09E5EE" w14:textId="77777777"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commentRangeEnd w:id="1"/>
            <w:r w:rsidR="00690F4B">
              <w:rPr>
                <w:rStyle w:val="CommentReference"/>
              </w:rPr>
              <w:commentReference w:id="1"/>
            </w:r>
          </w:p>
          <w:p w14:paraId="0FC6C4AA" w14:textId="77777777" w:rsidR="00B879CF" w:rsidRPr="0096255C" w:rsidRDefault="00B879CF" w:rsidP="00B879CF">
            <w:pPr>
              <w:pStyle w:val="ListParagraph"/>
              <w:rPr>
                <w:rFonts w:cstheme="minorHAnsi"/>
                <w:sz w:val="20"/>
                <w:szCs w:val="20"/>
                <w:u w:val="single"/>
              </w:rPr>
            </w:pPr>
          </w:p>
        </w:tc>
      </w:tr>
      <w:tr w:rsidR="009D5F7A" w:rsidRPr="009A5D04" w14:paraId="3DDCEDE1" w14:textId="77777777" w:rsidTr="00A23DF6">
        <w:tc>
          <w:tcPr>
            <w:tcW w:w="2605" w:type="dxa"/>
            <w:shd w:val="clear" w:color="auto" w:fill="0070C0"/>
          </w:tcPr>
          <w:p w14:paraId="02405722"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795B70F0"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4408B33B" w14:textId="77777777"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14:paraId="1CD0BB92" w14:textId="77777777" w:rsidR="009D5F7A" w:rsidRDefault="009D5F7A" w:rsidP="00124B9A">
            <w:pPr>
              <w:jc w:val="center"/>
              <w:rPr>
                <w:rFonts w:cstheme="minorHAnsi"/>
                <w:b/>
                <w:sz w:val="20"/>
                <w:szCs w:val="20"/>
              </w:rPr>
            </w:pPr>
            <w:r w:rsidRPr="009A5D04">
              <w:rPr>
                <w:rFonts w:cstheme="minorHAnsi"/>
                <w:b/>
                <w:sz w:val="20"/>
                <w:szCs w:val="20"/>
              </w:rPr>
              <w:lastRenderedPageBreak/>
              <w:t>Progress</w:t>
            </w:r>
          </w:p>
          <w:p w14:paraId="0EB8A16A" w14:textId="77777777"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14:paraId="5C151D06" w14:textId="77777777"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14:paraId="31074DE4" w14:textId="77777777" w:rsidR="009A5D04" w:rsidRPr="009A5D04" w:rsidRDefault="009A5D04" w:rsidP="00124B9A">
            <w:pPr>
              <w:jc w:val="center"/>
              <w:rPr>
                <w:rFonts w:cstheme="minorHAnsi"/>
                <w:b/>
                <w:sz w:val="20"/>
                <w:szCs w:val="20"/>
              </w:rPr>
            </w:pPr>
          </w:p>
        </w:tc>
        <w:tc>
          <w:tcPr>
            <w:tcW w:w="5079" w:type="dxa"/>
            <w:shd w:val="clear" w:color="auto" w:fill="0070C0"/>
          </w:tcPr>
          <w:p w14:paraId="0043EE16" w14:textId="77777777" w:rsidR="009D5F7A" w:rsidRPr="009A5D04" w:rsidRDefault="009D5F7A" w:rsidP="00124B9A">
            <w:pPr>
              <w:jc w:val="center"/>
              <w:rPr>
                <w:rFonts w:cstheme="minorHAnsi"/>
                <w:b/>
                <w:sz w:val="20"/>
                <w:szCs w:val="20"/>
              </w:rPr>
            </w:pPr>
            <w:commentRangeStart w:id="2"/>
            <w:r w:rsidRPr="009A5D04">
              <w:rPr>
                <w:rFonts w:cstheme="minorHAnsi"/>
                <w:b/>
                <w:sz w:val="20"/>
                <w:szCs w:val="20"/>
              </w:rPr>
              <w:lastRenderedPageBreak/>
              <w:t>Highlights</w:t>
            </w:r>
            <w:commentRangeEnd w:id="2"/>
            <w:r w:rsidR="00690F4B">
              <w:rPr>
                <w:rStyle w:val="CommentReference"/>
              </w:rPr>
              <w:commentReference w:id="2"/>
            </w:r>
          </w:p>
          <w:p w14:paraId="491175B1"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14:paraId="5D800D0E" w14:textId="77777777" w:rsidTr="004E73C3">
        <w:tc>
          <w:tcPr>
            <w:tcW w:w="2605" w:type="dxa"/>
            <w:vAlign w:val="center"/>
          </w:tcPr>
          <w:p w14:paraId="5F9EAC26" w14:textId="77777777"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14:paraId="653F1EB8" w14:textId="77777777" w:rsidR="008C6059" w:rsidRPr="009A5D04" w:rsidRDefault="008C6059" w:rsidP="009F2170">
            <w:pPr>
              <w:jc w:val="center"/>
              <w:rPr>
                <w:rFonts w:cstheme="minorHAnsi"/>
                <w:sz w:val="20"/>
                <w:szCs w:val="20"/>
              </w:rPr>
            </w:pPr>
          </w:p>
        </w:tc>
        <w:tc>
          <w:tcPr>
            <w:tcW w:w="4456" w:type="dxa"/>
          </w:tcPr>
          <w:p w14:paraId="418A6EC8" w14:textId="77777777" w:rsidR="008C6059" w:rsidRPr="009A5D04" w:rsidRDefault="00AF566E" w:rsidP="009F2170">
            <w:pPr>
              <w:jc w:val="center"/>
              <w:rPr>
                <w:rFonts w:cstheme="minorHAnsi"/>
                <w:sz w:val="20"/>
                <w:szCs w:val="20"/>
              </w:rPr>
            </w:pPr>
            <w:r>
              <w:rPr>
                <w:rFonts w:cstheme="minorHAnsi"/>
                <w:sz w:val="20"/>
                <w:szCs w:val="20"/>
              </w:rPr>
              <w:t>The opening of Crisis centers in Guria and Qvemo Kartli were planned in 2018. All the related procedures regarding the identification and registration of the office space will start in November, 2017.</w:t>
            </w:r>
          </w:p>
        </w:tc>
        <w:tc>
          <w:tcPr>
            <w:tcW w:w="874" w:type="dxa"/>
          </w:tcPr>
          <w:p w14:paraId="76C8C4BF" w14:textId="77777777" w:rsidR="008C6059" w:rsidRPr="00A61CE0" w:rsidRDefault="008C6059" w:rsidP="009F2170">
            <w:pPr>
              <w:jc w:val="center"/>
              <w:rPr>
                <w:rFonts w:cstheme="minorHAnsi"/>
                <w:sz w:val="20"/>
                <w:szCs w:val="20"/>
              </w:rPr>
            </w:pPr>
          </w:p>
        </w:tc>
        <w:tc>
          <w:tcPr>
            <w:tcW w:w="5079" w:type="dxa"/>
          </w:tcPr>
          <w:p w14:paraId="0F30C847"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27FAB2FE" w14:textId="77777777" w:rsidTr="004E73C3">
        <w:tc>
          <w:tcPr>
            <w:tcW w:w="2605" w:type="dxa"/>
            <w:vAlign w:val="center"/>
          </w:tcPr>
          <w:p w14:paraId="1481B3F2" w14:textId="77777777"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14:paraId="4EE106EE" w14:textId="77777777" w:rsidR="008C6059" w:rsidRPr="00013396" w:rsidRDefault="008C6059" w:rsidP="009F2170">
            <w:pPr>
              <w:jc w:val="center"/>
              <w:rPr>
                <w:rFonts w:cstheme="minorHAnsi"/>
                <w:sz w:val="20"/>
                <w:szCs w:val="20"/>
              </w:rPr>
            </w:pPr>
          </w:p>
        </w:tc>
        <w:tc>
          <w:tcPr>
            <w:tcW w:w="4456" w:type="dxa"/>
          </w:tcPr>
          <w:p w14:paraId="29D3C542" w14:textId="77777777" w:rsidR="00477B36" w:rsidRPr="00013396" w:rsidRDefault="00477B36" w:rsidP="009F2170">
            <w:pPr>
              <w:jc w:val="center"/>
              <w:rPr>
                <w:rFonts w:cstheme="minorHAnsi"/>
                <w:sz w:val="20"/>
                <w:szCs w:val="20"/>
              </w:rPr>
            </w:pPr>
            <w:commentRangeStart w:id="4"/>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commentRangeEnd w:id="4"/>
            <w:r w:rsidR="00690F4B">
              <w:rPr>
                <w:rStyle w:val="CommentReference"/>
              </w:rPr>
              <w:commentReference w:id="4"/>
            </w:r>
          </w:p>
          <w:p w14:paraId="3C4344ED" w14:textId="77777777" w:rsidR="008C6059" w:rsidRPr="00013396" w:rsidRDefault="008C6059" w:rsidP="009F2170">
            <w:pPr>
              <w:jc w:val="center"/>
              <w:rPr>
                <w:rFonts w:cstheme="minorHAnsi"/>
                <w:sz w:val="20"/>
                <w:szCs w:val="20"/>
              </w:rPr>
            </w:pPr>
          </w:p>
        </w:tc>
        <w:tc>
          <w:tcPr>
            <w:tcW w:w="874" w:type="dxa"/>
          </w:tcPr>
          <w:p w14:paraId="7BB80AAA" w14:textId="77777777" w:rsidR="008C6059" w:rsidRPr="00013396" w:rsidRDefault="008C6059" w:rsidP="009F2170">
            <w:pPr>
              <w:jc w:val="center"/>
              <w:rPr>
                <w:rFonts w:cstheme="minorHAnsi"/>
                <w:sz w:val="20"/>
                <w:szCs w:val="20"/>
              </w:rPr>
            </w:pPr>
          </w:p>
        </w:tc>
        <w:tc>
          <w:tcPr>
            <w:tcW w:w="5079" w:type="dxa"/>
          </w:tcPr>
          <w:p w14:paraId="5E7E2267" w14:textId="77777777"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14:paraId="70B6EA32" w14:textId="77777777" w:rsidTr="004E73C3">
        <w:tc>
          <w:tcPr>
            <w:tcW w:w="2605" w:type="dxa"/>
            <w:vAlign w:val="center"/>
          </w:tcPr>
          <w:p w14:paraId="57B1917D" w14:textId="77777777"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14:paraId="522752BC" w14:textId="77777777" w:rsidR="008C6059" w:rsidRPr="009A5D04" w:rsidRDefault="008C6059" w:rsidP="009F2170">
            <w:pPr>
              <w:jc w:val="center"/>
              <w:rPr>
                <w:rFonts w:cstheme="minorHAnsi"/>
                <w:sz w:val="20"/>
                <w:szCs w:val="20"/>
              </w:rPr>
            </w:pPr>
          </w:p>
        </w:tc>
        <w:tc>
          <w:tcPr>
            <w:tcW w:w="4456" w:type="dxa"/>
          </w:tcPr>
          <w:p w14:paraId="499DC678" w14:textId="77777777" w:rsidR="00F12B69" w:rsidRPr="00A61CE0" w:rsidRDefault="00F12B69" w:rsidP="009F2170">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14:paraId="44D3D112" w14:textId="77777777" w:rsidR="00A61CE0" w:rsidRDefault="00F12B69" w:rsidP="009F2170">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14:paraId="0D087376" w14:textId="77777777" w:rsidR="00F12B69" w:rsidRPr="00A61CE0" w:rsidRDefault="00A61CE0" w:rsidP="009F2170">
            <w:pPr>
              <w:jc w:val="center"/>
              <w:rPr>
                <w:rFonts w:cstheme="minorHAnsi"/>
                <w:sz w:val="20"/>
                <w:szCs w:val="20"/>
              </w:rPr>
            </w:pPr>
            <w:r w:rsidRPr="00A61CE0">
              <w:rPr>
                <w:rFonts w:cstheme="minorHAnsi"/>
                <w:sz w:val="20"/>
                <w:szCs w:val="20"/>
              </w:rPr>
              <w:t>Based on above mentioned</w:t>
            </w:r>
            <w:r>
              <w:rPr>
                <w:rFonts w:cstheme="minorHAnsi"/>
                <w:sz w:val="20"/>
                <w:szCs w:val="20"/>
              </w:rPr>
              <w:t>.</w:t>
            </w:r>
          </w:p>
          <w:p w14:paraId="18423A21" w14:textId="77777777" w:rsidR="00F12B69" w:rsidRPr="00F12B69" w:rsidRDefault="00F12B69" w:rsidP="009F2170">
            <w:pPr>
              <w:jc w:val="center"/>
              <w:rPr>
                <w:rFonts w:cstheme="minorHAnsi"/>
                <w:sz w:val="20"/>
                <w:szCs w:val="20"/>
              </w:rPr>
            </w:pPr>
            <w:r>
              <w:rPr>
                <w:rFonts w:cstheme="minorHAnsi"/>
                <w:sz w:val="20"/>
                <w:szCs w:val="20"/>
              </w:rPr>
              <w:t>ToR for the expert has been elaborated.</w:t>
            </w:r>
          </w:p>
          <w:p w14:paraId="3FBCC9AC" w14:textId="77777777" w:rsidR="008C6059" w:rsidRPr="009A5D04" w:rsidRDefault="00F12B69" w:rsidP="009F2170">
            <w:pPr>
              <w:jc w:val="center"/>
              <w:rPr>
                <w:rFonts w:cstheme="minorHAnsi"/>
                <w:sz w:val="20"/>
                <w:szCs w:val="20"/>
              </w:rPr>
            </w:pPr>
            <w:r w:rsidRPr="00F12B69">
              <w:rPr>
                <w:rFonts w:cstheme="minorHAnsi"/>
                <w:sz w:val="20"/>
                <w:szCs w:val="20"/>
              </w:rPr>
              <w:t xml:space="preserve">The local expert </w:t>
            </w:r>
            <w:r w:rsidR="00020B6E">
              <w:rPr>
                <w:rFonts w:cstheme="minorHAnsi"/>
                <w:sz w:val="20"/>
                <w:szCs w:val="20"/>
              </w:rPr>
              <w:t xml:space="preserve">has been hired and </w:t>
            </w:r>
            <w:r w:rsidR="0040751A">
              <w:rPr>
                <w:rFonts w:cstheme="minorHAnsi"/>
                <w:sz w:val="20"/>
                <w:szCs w:val="20"/>
              </w:rPr>
              <w:t xml:space="preserve">developing of economic </w:t>
            </w:r>
            <w:r w:rsidR="0040751A" w:rsidRPr="00A61CE0">
              <w:rPr>
                <w:rFonts w:cstheme="minorHAnsi"/>
                <w:sz w:val="20"/>
                <w:szCs w:val="20"/>
              </w:rPr>
              <w:t>re</w:t>
            </w:r>
            <w:r w:rsidR="0040751A">
              <w:rPr>
                <w:rFonts w:cstheme="minorHAnsi"/>
                <w:sz w:val="20"/>
                <w:szCs w:val="20"/>
              </w:rPr>
              <w:t xml:space="preserve">habilitation </w:t>
            </w:r>
            <w:r w:rsidR="0040751A" w:rsidRPr="00A61CE0">
              <w:rPr>
                <w:rFonts w:cstheme="minorHAnsi"/>
                <w:sz w:val="20"/>
                <w:szCs w:val="20"/>
              </w:rPr>
              <w:t>guideline</w:t>
            </w:r>
            <w:r w:rsidR="0040751A">
              <w:rPr>
                <w:rFonts w:cstheme="minorHAnsi"/>
                <w:sz w:val="20"/>
                <w:szCs w:val="20"/>
              </w:rPr>
              <w:t xml:space="preserve"> will be finalized</w:t>
            </w:r>
            <w:r w:rsidRPr="00F12B69">
              <w:rPr>
                <w:rFonts w:cstheme="minorHAnsi"/>
                <w:sz w:val="20"/>
                <w:szCs w:val="20"/>
              </w:rPr>
              <w:t xml:space="preserve"> by the </w:t>
            </w:r>
            <w:r w:rsidR="0040751A">
              <w:rPr>
                <w:rFonts w:cstheme="minorHAnsi"/>
                <w:sz w:val="20"/>
                <w:szCs w:val="20"/>
              </w:rPr>
              <w:t>end of November</w:t>
            </w:r>
            <w:r w:rsidRPr="00F12B69">
              <w:rPr>
                <w:rFonts w:cstheme="minorHAnsi"/>
                <w:sz w:val="20"/>
                <w:szCs w:val="20"/>
              </w:rPr>
              <w:t>, 2017.</w:t>
            </w:r>
            <w:r w:rsidR="00D540BA">
              <w:rPr>
                <w:rFonts w:cstheme="minorHAnsi"/>
                <w:sz w:val="20"/>
                <w:szCs w:val="20"/>
              </w:rPr>
              <w:t xml:space="preserve"> The payment will be made after </w:t>
            </w:r>
            <w:commentRangeStart w:id="5"/>
            <w:r w:rsidR="00D540BA">
              <w:rPr>
                <w:rFonts w:cstheme="minorHAnsi"/>
                <w:sz w:val="20"/>
                <w:szCs w:val="20"/>
              </w:rPr>
              <w:t>handover</w:t>
            </w:r>
            <w:commentRangeEnd w:id="5"/>
            <w:r w:rsidR="00690F4B">
              <w:rPr>
                <w:rStyle w:val="CommentReference"/>
              </w:rPr>
              <w:commentReference w:id="5"/>
            </w:r>
            <w:r w:rsidR="00D540BA">
              <w:rPr>
                <w:rFonts w:cstheme="minorHAnsi"/>
                <w:sz w:val="20"/>
                <w:szCs w:val="20"/>
              </w:rPr>
              <w:t>.</w:t>
            </w:r>
          </w:p>
        </w:tc>
        <w:tc>
          <w:tcPr>
            <w:tcW w:w="874" w:type="dxa"/>
          </w:tcPr>
          <w:p w14:paraId="4891A27A" w14:textId="77777777" w:rsidR="008C6059" w:rsidRPr="00F12B69" w:rsidRDefault="008C6059" w:rsidP="009F2170">
            <w:pPr>
              <w:jc w:val="center"/>
              <w:rPr>
                <w:rFonts w:cstheme="minorHAnsi"/>
                <w:sz w:val="20"/>
                <w:szCs w:val="20"/>
              </w:rPr>
            </w:pPr>
          </w:p>
        </w:tc>
        <w:tc>
          <w:tcPr>
            <w:tcW w:w="5079" w:type="dxa"/>
          </w:tcPr>
          <w:p w14:paraId="1612F7BE" w14:textId="77777777" w:rsidR="008C6059" w:rsidRPr="00F12B69" w:rsidRDefault="008C6059" w:rsidP="009F2170">
            <w:pPr>
              <w:jc w:val="center"/>
              <w:rPr>
                <w:rFonts w:cstheme="minorHAnsi"/>
                <w:sz w:val="20"/>
                <w:szCs w:val="20"/>
              </w:rPr>
            </w:pPr>
          </w:p>
        </w:tc>
      </w:tr>
      <w:tr w:rsidR="008C6059" w:rsidRPr="009A5D04" w14:paraId="696281F3" w14:textId="77777777" w:rsidTr="004E73C3">
        <w:tc>
          <w:tcPr>
            <w:tcW w:w="2605" w:type="dxa"/>
            <w:vAlign w:val="center"/>
          </w:tcPr>
          <w:p w14:paraId="34436684" w14:textId="77777777" w:rsidR="008C6059" w:rsidRPr="00A61CE0" w:rsidRDefault="008C6059" w:rsidP="009F2170">
            <w:pPr>
              <w:jc w:val="center"/>
              <w:rPr>
                <w:rFonts w:cstheme="minorHAnsi"/>
                <w:sz w:val="20"/>
                <w:szCs w:val="20"/>
              </w:rPr>
            </w:pPr>
            <w:r w:rsidRPr="00A61CE0">
              <w:rPr>
                <w:rFonts w:cstheme="minorHAnsi"/>
                <w:sz w:val="20"/>
                <w:szCs w:val="20"/>
              </w:rPr>
              <w:t>Needs assessment of beneficiaries</w:t>
            </w:r>
          </w:p>
        </w:tc>
        <w:tc>
          <w:tcPr>
            <w:tcW w:w="1694" w:type="dxa"/>
          </w:tcPr>
          <w:p w14:paraId="18C0B497" w14:textId="77777777" w:rsidR="008C6059" w:rsidRPr="009A5D04" w:rsidRDefault="008C6059" w:rsidP="009F2170">
            <w:pPr>
              <w:jc w:val="center"/>
              <w:rPr>
                <w:rFonts w:cstheme="minorHAnsi"/>
                <w:sz w:val="20"/>
                <w:szCs w:val="20"/>
              </w:rPr>
            </w:pPr>
          </w:p>
        </w:tc>
        <w:tc>
          <w:tcPr>
            <w:tcW w:w="4456" w:type="dxa"/>
          </w:tcPr>
          <w:p w14:paraId="33DCC824" w14:textId="77777777"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14:paraId="37F6EB44" w14:textId="77777777"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 xml:space="preserve">from the </w:t>
            </w:r>
            <w:r w:rsidR="001B3F22">
              <w:rPr>
                <w:rFonts w:cstheme="minorHAnsi"/>
                <w:sz w:val="20"/>
                <w:szCs w:val="20"/>
              </w:rPr>
              <w:lastRenderedPageBreak/>
              <w:t>m</w:t>
            </w:r>
            <w:r>
              <w:rPr>
                <w:rFonts w:cstheme="minorHAnsi"/>
                <w:sz w:val="20"/>
                <w:szCs w:val="20"/>
              </w:rPr>
              <w:t>a</w:t>
            </w:r>
            <w:r w:rsidR="001B3F22">
              <w:rPr>
                <w:rFonts w:cstheme="minorHAnsi"/>
                <w:sz w:val="20"/>
                <w:szCs w:val="20"/>
              </w:rPr>
              <w:t xml:space="preserve">nagers, Atipfund conducted </w:t>
            </w:r>
            <w:r w:rsidR="009C5163" w:rsidRPr="009C5163">
              <w:rPr>
                <w:rFonts w:cstheme="minorHAnsi"/>
                <w:sz w:val="20"/>
                <w:szCs w:val="20"/>
              </w:rPr>
              <w:t>market research i</w:t>
            </w:r>
            <w:r>
              <w:rPr>
                <w:rFonts w:cstheme="minorHAnsi"/>
                <w:sz w:val="20"/>
                <w:szCs w:val="20"/>
              </w:rPr>
              <w:t xml:space="preserve">n Vocational Education Colleges </w:t>
            </w:r>
            <w:r w:rsidR="001B3F22">
              <w:rPr>
                <w:rFonts w:cstheme="minorHAnsi"/>
                <w:sz w:val="20"/>
                <w:szCs w:val="20"/>
              </w:rPr>
              <w:t xml:space="preserve">in </w:t>
            </w:r>
            <w:r w:rsidR="001B3F22" w:rsidRPr="001B3F22">
              <w:rPr>
                <w:rFonts w:cstheme="minorHAnsi"/>
                <w:sz w:val="20"/>
                <w:szCs w:val="20"/>
              </w:rPr>
              <w:t xml:space="preserve">relevant </w:t>
            </w:r>
            <w:commentRangeStart w:id="6"/>
            <w:r w:rsidR="001B3F22" w:rsidRPr="001B3F22">
              <w:rPr>
                <w:rFonts w:cstheme="minorHAnsi"/>
                <w:sz w:val="20"/>
                <w:szCs w:val="20"/>
              </w:rPr>
              <w:t>regions</w:t>
            </w:r>
            <w:commentRangeEnd w:id="6"/>
            <w:r w:rsidR="00690F4B">
              <w:rPr>
                <w:rStyle w:val="CommentReference"/>
              </w:rPr>
              <w:commentReference w:id="6"/>
            </w:r>
            <w:r w:rsidR="001B3F22" w:rsidRPr="001B3F22">
              <w:rPr>
                <w:rFonts w:cstheme="minorHAnsi"/>
                <w:sz w:val="20"/>
                <w:szCs w:val="20"/>
              </w:rPr>
              <w:t>.</w:t>
            </w:r>
          </w:p>
        </w:tc>
        <w:tc>
          <w:tcPr>
            <w:tcW w:w="874" w:type="dxa"/>
          </w:tcPr>
          <w:p w14:paraId="16AC4F8B" w14:textId="77777777" w:rsidR="008C6059" w:rsidRPr="00A61CE0" w:rsidRDefault="008C6059" w:rsidP="009F2170">
            <w:pPr>
              <w:jc w:val="center"/>
              <w:rPr>
                <w:rFonts w:cstheme="minorHAnsi"/>
                <w:sz w:val="20"/>
                <w:szCs w:val="20"/>
              </w:rPr>
            </w:pPr>
          </w:p>
        </w:tc>
        <w:tc>
          <w:tcPr>
            <w:tcW w:w="5079" w:type="dxa"/>
          </w:tcPr>
          <w:p w14:paraId="6B74580B"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6B61920D" w14:textId="77777777" w:rsidTr="004E73C3">
        <w:tc>
          <w:tcPr>
            <w:tcW w:w="2605" w:type="dxa"/>
            <w:vAlign w:val="center"/>
          </w:tcPr>
          <w:p w14:paraId="03202D1C" w14:textId="77777777" w:rsidR="008C6059" w:rsidRPr="00A61CE0" w:rsidRDefault="008C6059" w:rsidP="009F2170">
            <w:pPr>
              <w:jc w:val="center"/>
              <w:rPr>
                <w:rFonts w:cstheme="minorHAnsi"/>
                <w:sz w:val="20"/>
                <w:szCs w:val="20"/>
              </w:rPr>
            </w:pPr>
            <w:r w:rsidRPr="00A61CE0">
              <w:rPr>
                <w:rFonts w:cstheme="minorHAnsi"/>
                <w:sz w:val="20"/>
                <w:szCs w:val="20"/>
              </w:rPr>
              <w:t>Five roundtable discussions and meetings with local businesses and other employers.</w:t>
            </w:r>
          </w:p>
        </w:tc>
        <w:tc>
          <w:tcPr>
            <w:tcW w:w="1694" w:type="dxa"/>
          </w:tcPr>
          <w:p w14:paraId="046F38E2" w14:textId="77777777" w:rsidR="008C6059" w:rsidRPr="009A5D04" w:rsidRDefault="00626391" w:rsidP="009F2170">
            <w:pPr>
              <w:jc w:val="center"/>
              <w:rPr>
                <w:rFonts w:cstheme="minorHAnsi"/>
                <w:sz w:val="20"/>
                <w:szCs w:val="20"/>
              </w:rPr>
            </w:pPr>
            <w:r>
              <w:rPr>
                <w:rFonts w:cstheme="minorHAnsi"/>
                <w:sz w:val="20"/>
                <w:szCs w:val="20"/>
              </w:rPr>
              <w:t>2 meetings</w:t>
            </w:r>
          </w:p>
        </w:tc>
        <w:tc>
          <w:tcPr>
            <w:tcW w:w="4456" w:type="dxa"/>
          </w:tcPr>
          <w:p w14:paraId="39E5E1F0" w14:textId="77777777" w:rsidR="008C6059" w:rsidRPr="009A5D04" w:rsidRDefault="009C5163" w:rsidP="009F2170">
            <w:pPr>
              <w:jc w:val="center"/>
              <w:rPr>
                <w:rFonts w:cstheme="minorHAnsi"/>
                <w:sz w:val="20"/>
                <w:szCs w:val="20"/>
              </w:rPr>
            </w:pPr>
            <w:r w:rsidRPr="009C5163">
              <w:rPr>
                <w:rFonts w:cstheme="minorHAnsi"/>
                <w:sz w:val="20"/>
                <w:szCs w:val="20"/>
              </w:rPr>
              <w:t xml:space="preserve">2 introductory meetings related to the activity of the Fund were held in </w:t>
            </w:r>
            <w:r>
              <w:rPr>
                <w:rFonts w:cstheme="minorHAnsi"/>
                <w:sz w:val="20"/>
                <w:szCs w:val="20"/>
              </w:rPr>
              <w:t>Qvemo Kartli</w:t>
            </w:r>
            <w:r w:rsidR="00AF566E">
              <w:rPr>
                <w:rFonts w:cstheme="minorHAnsi"/>
                <w:sz w:val="20"/>
                <w:szCs w:val="20"/>
              </w:rPr>
              <w:t xml:space="preserve"> on July 4</w:t>
            </w:r>
            <w:r w:rsidR="00AF566E" w:rsidRPr="001B3F22">
              <w:rPr>
                <w:rFonts w:cstheme="minorHAnsi"/>
                <w:sz w:val="20"/>
                <w:szCs w:val="20"/>
              </w:rPr>
              <w:t>th</w:t>
            </w:r>
            <w:r w:rsidR="00AF566E">
              <w:rPr>
                <w:rFonts w:cstheme="minorHAnsi"/>
                <w:sz w:val="20"/>
                <w:szCs w:val="20"/>
              </w:rPr>
              <w:t xml:space="preserve">, 2017 </w:t>
            </w:r>
            <w:r w:rsidRPr="009C5163">
              <w:rPr>
                <w:rFonts w:cstheme="minorHAnsi"/>
                <w:sz w:val="20"/>
                <w:szCs w:val="20"/>
              </w:rPr>
              <w:t xml:space="preserve">and </w:t>
            </w:r>
            <w:r w:rsidR="00AF566E">
              <w:rPr>
                <w:rFonts w:cstheme="minorHAnsi"/>
                <w:sz w:val="20"/>
                <w:szCs w:val="20"/>
              </w:rPr>
              <w:t xml:space="preserve">in </w:t>
            </w:r>
            <w:r w:rsidRPr="009C5163">
              <w:rPr>
                <w:rFonts w:cstheme="minorHAnsi"/>
                <w:sz w:val="20"/>
                <w:szCs w:val="20"/>
              </w:rPr>
              <w:t>Guria</w:t>
            </w:r>
            <w:r w:rsidR="00AF566E">
              <w:rPr>
                <w:rFonts w:cstheme="minorHAnsi"/>
                <w:sz w:val="20"/>
                <w:szCs w:val="20"/>
              </w:rPr>
              <w:t xml:space="preserve"> on July 3</w:t>
            </w:r>
            <w:r w:rsidR="00AF566E" w:rsidRPr="001B3F22">
              <w:rPr>
                <w:rFonts w:cstheme="minorHAnsi"/>
                <w:sz w:val="20"/>
                <w:szCs w:val="20"/>
              </w:rPr>
              <w:t>rd</w:t>
            </w:r>
            <w:r w:rsidR="00AF566E">
              <w:rPr>
                <w:rFonts w:cstheme="minorHAnsi"/>
                <w:sz w:val="20"/>
                <w:szCs w:val="20"/>
              </w:rPr>
              <w:t>, 2017</w:t>
            </w:r>
            <w:r w:rsidR="00AF566E" w:rsidRPr="009C5163">
              <w:rPr>
                <w:rFonts w:cstheme="minorHAnsi"/>
                <w:sz w:val="20"/>
                <w:szCs w:val="20"/>
              </w:rPr>
              <w:t>;</w:t>
            </w:r>
            <w:r w:rsidRPr="009C5163">
              <w:rPr>
                <w:rFonts w:cstheme="minorHAnsi"/>
                <w:sz w:val="20"/>
                <w:szCs w:val="20"/>
              </w:rPr>
              <w:t xml:space="preserve"> among the participants were the local representatives working on gender issues, medical personnel, and representatives of the Social Service Agency, Prosecutor’s Office and NGOs’. The participants discussed ongoing processes without the crisis center, services of the current methodology related to the domestic violence, mechanisms of reaction and need(s) </w:t>
            </w:r>
            <w:commentRangeStart w:id="7"/>
            <w:r w:rsidRPr="009C5163">
              <w:rPr>
                <w:rFonts w:cstheme="minorHAnsi"/>
                <w:sz w:val="20"/>
                <w:szCs w:val="20"/>
              </w:rPr>
              <w:t>assessment</w:t>
            </w:r>
            <w:commentRangeEnd w:id="7"/>
            <w:r w:rsidR="00690F4B">
              <w:rPr>
                <w:rStyle w:val="CommentReference"/>
              </w:rPr>
              <w:commentReference w:id="7"/>
            </w:r>
            <w:r w:rsidRPr="009C5163">
              <w:rPr>
                <w:rFonts w:cstheme="minorHAnsi"/>
                <w:sz w:val="20"/>
                <w:szCs w:val="20"/>
              </w:rPr>
              <w:t>.</w:t>
            </w:r>
          </w:p>
        </w:tc>
        <w:tc>
          <w:tcPr>
            <w:tcW w:w="874" w:type="dxa"/>
          </w:tcPr>
          <w:p w14:paraId="4319889F" w14:textId="77777777" w:rsidR="008C6059" w:rsidRPr="00A61CE0" w:rsidRDefault="008C6059" w:rsidP="009F2170">
            <w:pPr>
              <w:jc w:val="center"/>
              <w:rPr>
                <w:rFonts w:cstheme="minorHAnsi"/>
                <w:sz w:val="20"/>
                <w:szCs w:val="20"/>
              </w:rPr>
            </w:pPr>
          </w:p>
        </w:tc>
        <w:tc>
          <w:tcPr>
            <w:tcW w:w="5079" w:type="dxa"/>
          </w:tcPr>
          <w:p w14:paraId="459B2184"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D9CB3BE" w14:textId="77777777" w:rsidTr="004E73C3">
        <w:tc>
          <w:tcPr>
            <w:tcW w:w="2605" w:type="dxa"/>
            <w:vAlign w:val="center"/>
          </w:tcPr>
          <w:p w14:paraId="192CF968" w14:textId="77777777"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14:paraId="6D68C7D8" w14:textId="77777777" w:rsidR="008C6059" w:rsidRPr="009A5D04" w:rsidRDefault="008C6059" w:rsidP="009F2170">
            <w:pPr>
              <w:jc w:val="center"/>
              <w:rPr>
                <w:rFonts w:cstheme="minorHAnsi"/>
                <w:sz w:val="20"/>
                <w:szCs w:val="20"/>
              </w:rPr>
            </w:pPr>
          </w:p>
        </w:tc>
        <w:tc>
          <w:tcPr>
            <w:tcW w:w="4456" w:type="dxa"/>
          </w:tcPr>
          <w:p w14:paraId="67C7AB18" w14:textId="77777777"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14:paraId="71FB9AD9" w14:textId="77777777" w:rsidR="008C6059" w:rsidRPr="00A61CE0" w:rsidRDefault="002B29F4" w:rsidP="009F2170">
            <w:pPr>
              <w:jc w:val="center"/>
              <w:rPr>
                <w:rFonts w:cstheme="minorHAnsi"/>
                <w:sz w:val="20"/>
                <w:szCs w:val="20"/>
              </w:rPr>
            </w:pPr>
            <w:r>
              <w:rPr>
                <w:rFonts w:cstheme="minorHAnsi"/>
                <w:sz w:val="20"/>
                <w:szCs w:val="20"/>
              </w:rPr>
              <w:t>7299</w:t>
            </w:r>
          </w:p>
        </w:tc>
        <w:tc>
          <w:tcPr>
            <w:tcW w:w="5079" w:type="dxa"/>
          </w:tcPr>
          <w:p w14:paraId="5C705C95"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AA5FE22" w14:textId="77777777" w:rsidTr="004E73C3">
        <w:tc>
          <w:tcPr>
            <w:tcW w:w="2605" w:type="dxa"/>
            <w:vAlign w:val="center"/>
          </w:tcPr>
          <w:p w14:paraId="5FA86447" w14:textId="77777777"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14:paraId="5A1BD2FB" w14:textId="77777777" w:rsidR="008C6059" w:rsidRPr="009A5D04" w:rsidRDefault="008C6059" w:rsidP="009F2170">
            <w:pPr>
              <w:jc w:val="center"/>
              <w:rPr>
                <w:rFonts w:cstheme="minorHAnsi"/>
                <w:sz w:val="20"/>
                <w:szCs w:val="20"/>
              </w:rPr>
            </w:pPr>
          </w:p>
        </w:tc>
        <w:tc>
          <w:tcPr>
            <w:tcW w:w="4456" w:type="dxa"/>
          </w:tcPr>
          <w:p w14:paraId="7879C331" w14:textId="77777777" w:rsidR="00D7684E" w:rsidRPr="00D540BA" w:rsidRDefault="00167F82" w:rsidP="009F2170">
            <w:pPr>
              <w:jc w:val="center"/>
              <w:rPr>
                <w:rFonts w:cstheme="minorHAnsi"/>
                <w:sz w:val="20"/>
                <w:szCs w:val="20"/>
              </w:rPr>
            </w:pPr>
            <w:r>
              <w:rPr>
                <w:rFonts w:cstheme="minorHAnsi"/>
                <w:sz w:val="20"/>
                <w:szCs w:val="20"/>
              </w:rPr>
              <w:t xml:space="preserve">The contract was signed with </w:t>
            </w:r>
            <w:r w:rsidR="00D7684E" w:rsidRPr="00D7684E">
              <w:rPr>
                <w:rFonts w:cstheme="minorHAnsi"/>
                <w:sz w:val="20"/>
                <w:szCs w:val="20"/>
              </w:rPr>
              <w:t>Georgian Association of Social Workers (GASW)</w:t>
            </w:r>
            <w:r w:rsidR="00D7684E">
              <w:rPr>
                <w:rFonts w:cstheme="minorHAnsi"/>
                <w:sz w:val="20"/>
                <w:szCs w:val="20"/>
              </w:rPr>
              <w:t xml:space="preserve"> to develop </w:t>
            </w:r>
            <w:commentRangeStart w:id="8"/>
            <w:r w:rsidR="00D7684E">
              <w:rPr>
                <w:rFonts w:cstheme="minorHAnsi"/>
                <w:sz w:val="20"/>
                <w:szCs w:val="20"/>
              </w:rPr>
              <w:t>social rehabilitation guideline</w:t>
            </w:r>
            <w:commentRangeEnd w:id="8"/>
            <w:r w:rsidR="00690F4B">
              <w:rPr>
                <w:rStyle w:val="CommentReference"/>
              </w:rPr>
              <w:commentReference w:id="8"/>
            </w:r>
            <w:r w:rsidR="00D7684E">
              <w:rPr>
                <w:rFonts w:cstheme="minorHAnsi"/>
                <w:sz w:val="20"/>
                <w:szCs w:val="20"/>
              </w:rPr>
              <w:t xml:space="preserve">. The </w:t>
            </w:r>
            <w:r w:rsidR="009F2170">
              <w:rPr>
                <w:rFonts w:cstheme="minorHAnsi"/>
                <w:sz w:val="20"/>
                <w:szCs w:val="20"/>
              </w:rPr>
              <w:t>process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r w:rsidR="00D540BA" w:rsidRPr="00D540BA">
              <w:rPr>
                <w:rFonts w:cstheme="minorHAnsi"/>
                <w:sz w:val="20"/>
                <w:szCs w:val="20"/>
              </w:rPr>
              <w:t xml:space="preserve"> At</w:t>
            </w:r>
            <w:r w:rsidR="00D540BA">
              <w:rPr>
                <w:rFonts w:cstheme="minorHAnsi"/>
                <w:sz w:val="20"/>
                <w:szCs w:val="20"/>
              </w:rPr>
              <w:t xml:space="preserve"> this moment</w:t>
            </w:r>
            <w:r w:rsidR="00D540BA" w:rsidRPr="00D540BA">
              <w:rPr>
                <w:rFonts w:cstheme="minorHAnsi"/>
                <w:sz w:val="20"/>
                <w:szCs w:val="20"/>
              </w:rPr>
              <w:t xml:space="preserve"> 75% of total amount was paid. </w:t>
            </w:r>
          </w:p>
          <w:p w14:paraId="72423119" w14:textId="77777777" w:rsidR="008C6059" w:rsidRPr="009A5D04" w:rsidRDefault="008C6059" w:rsidP="009F2170">
            <w:pPr>
              <w:jc w:val="center"/>
              <w:rPr>
                <w:rFonts w:cstheme="minorHAnsi"/>
                <w:sz w:val="20"/>
                <w:szCs w:val="20"/>
              </w:rPr>
            </w:pPr>
          </w:p>
        </w:tc>
        <w:tc>
          <w:tcPr>
            <w:tcW w:w="874" w:type="dxa"/>
          </w:tcPr>
          <w:p w14:paraId="7062877C" w14:textId="77777777" w:rsidR="008C6059" w:rsidRPr="00A61CE0" w:rsidRDefault="002B29F4" w:rsidP="009F2170">
            <w:pPr>
              <w:jc w:val="center"/>
              <w:rPr>
                <w:rFonts w:cstheme="minorHAnsi"/>
                <w:sz w:val="20"/>
                <w:szCs w:val="20"/>
              </w:rPr>
            </w:pPr>
            <w:r>
              <w:rPr>
                <w:rFonts w:cstheme="minorHAnsi"/>
                <w:sz w:val="20"/>
                <w:szCs w:val="20"/>
              </w:rPr>
              <w:t>26192</w:t>
            </w:r>
          </w:p>
        </w:tc>
        <w:tc>
          <w:tcPr>
            <w:tcW w:w="5079" w:type="dxa"/>
          </w:tcPr>
          <w:p w14:paraId="0EF4A68C" w14:textId="77777777" w:rsidR="008C6059" w:rsidRPr="009A5D04" w:rsidRDefault="00935C37" w:rsidP="009F2170">
            <w:pPr>
              <w:jc w:val="center"/>
              <w:rPr>
                <w:rFonts w:cstheme="minorHAnsi"/>
                <w:sz w:val="20"/>
                <w:szCs w:val="20"/>
              </w:rPr>
            </w:pPr>
            <w:r>
              <w:rPr>
                <w:rFonts w:cstheme="minorHAnsi"/>
                <w:sz w:val="20"/>
                <w:szCs w:val="20"/>
              </w:rPr>
              <w:t>N/A</w:t>
            </w:r>
          </w:p>
        </w:tc>
      </w:tr>
    </w:tbl>
    <w:p w14:paraId="2D133DD0" w14:textId="77777777" w:rsidR="008C4DB8" w:rsidRPr="009A5D04" w:rsidRDefault="008C4DB8" w:rsidP="009F2170">
      <w:pPr>
        <w:jc w:val="center"/>
        <w:rPr>
          <w:rFonts w:cstheme="minorHAnsi"/>
          <w:color w:val="0070C0"/>
          <w:sz w:val="20"/>
          <w:szCs w:val="20"/>
        </w:rPr>
      </w:pPr>
    </w:p>
    <w:p w14:paraId="563717C6" w14:textId="77777777" w:rsidR="009A5D04" w:rsidRDefault="009A5D04">
      <w:pPr>
        <w:rPr>
          <w:rFonts w:cstheme="minorHAnsi"/>
          <w:b/>
          <w:color w:val="0070C0"/>
          <w:sz w:val="20"/>
          <w:szCs w:val="20"/>
        </w:rPr>
      </w:pPr>
      <w:r>
        <w:rPr>
          <w:rFonts w:cstheme="minorHAnsi"/>
          <w:b/>
          <w:color w:val="0070C0"/>
          <w:sz w:val="20"/>
          <w:szCs w:val="20"/>
        </w:rPr>
        <w:br w:type="page"/>
      </w:r>
    </w:p>
    <w:p w14:paraId="1A97DE26" w14:textId="77777777" w:rsidR="00754378" w:rsidRDefault="00754378">
      <w:pPr>
        <w:rPr>
          <w:rFonts w:cstheme="minorHAnsi"/>
          <w:b/>
          <w:sz w:val="20"/>
          <w:szCs w:val="20"/>
        </w:rPr>
      </w:pPr>
    </w:p>
    <w:p w14:paraId="4F321BC4" w14:textId="77777777" w:rsidR="00754378" w:rsidRDefault="00754378">
      <w:pPr>
        <w:rPr>
          <w:rFonts w:cstheme="minorHAnsi"/>
          <w:b/>
          <w:sz w:val="20"/>
          <w:szCs w:val="20"/>
        </w:rPr>
      </w:pPr>
    </w:p>
    <w:p w14:paraId="505FFE60" w14:textId="77777777"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0DAE905B"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7CE4A09D" w14:textId="77777777" w:rsidR="00737CAF" w:rsidRPr="009A5D04" w:rsidRDefault="00737CAF" w:rsidP="00737CAF">
      <w:pPr>
        <w:spacing w:after="0" w:line="240" w:lineRule="auto"/>
        <w:jc w:val="both"/>
        <w:rPr>
          <w:rFonts w:eastAsia="Times New Roman" w:cs="Times New Roman"/>
          <w:color w:val="000000"/>
          <w:sz w:val="20"/>
          <w:szCs w:val="20"/>
        </w:rPr>
      </w:pPr>
    </w:p>
    <w:p w14:paraId="69F291A8"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10"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11"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2"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14:paraId="19CAC628" w14:textId="77777777" w:rsidR="009A5D04" w:rsidRPr="009A5D04" w:rsidRDefault="009A5D04" w:rsidP="00737CAF">
      <w:pPr>
        <w:spacing w:after="0" w:line="240" w:lineRule="auto"/>
        <w:jc w:val="both"/>
        <w:rPr>
          <w:rFonts w:eastAsia="Times New Roman" w:cs="Times New Roman"/>
          <w:b/>
          <w:bCs/>
          <w:color w:val="000000"/>
          <w:sz w:val="20"/>
          <w:szCs w:val="20"/>
        </w:rPr>
      </w:pPr>
    </w:p>
    <w:p w14:paraId="1320A422"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66455749" w14:textId="77777777" w:rsidR="00AF108C" w:rsidRPr="009A5D04" w:rsidRDefault="00AF108C" w:rsidP="00737CAF">
      <w:pPr>
        <w:spacing w:after="0" w:line="240" w:lineRule="auto"/>
        <w:jc w:val="both"/>
        <w:rPr>
          <w:rFonts w:eastAsia="Times New Roman" w:cs="Times New Roman"/>
          <w:b/>
          <w:bCs/>
          <w:color w:val="000000"/>
          <w:sz w:val="20"/>
          <w:szCs w:val="20"/>
        </w:rPr>
      </w:pPr>
    </w:p>
    <w:p w14:paraId="0D32686F"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61DD26CA" w14:textId="77777777" w:rsidR="00737CAF" w:rsidRPr="009A5D04" w:rsidRDefault="00737CAF" w:rsidP="00737CAF">
      <w:pPr>
        <w:spacing w:after="0" w:line="240" w:lineRule="auto"/>
        <w:jc w:val="both"/>
        <w:rPr>
          <w:rFonts w:eastAsia="Times New Roman" w:cs="Times New Roman"/>
          <w:b/>
          <w:bCs/>
          <w:color w:val="000000"/>
          <w:sz w:val="20"/>
          <w:szCs w:val="20"/>
        </w:rPr>
      </w:pPr>
    </w:p>
    <w:p w14:paraId="7C26039F"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5965EEB6" w14:textId="77777777" w:rsidR="00737CAF" w:rsidRPr="009A5D04" w:rsidRDefault="00737CAF" w:rsidP="00737CAF">
      <w:pPr>
        <w:pStyle w:val="NoSpacing"/>
        <w:jc w:val="both"/>
        <w:rPr>
          <w:rFonts w:cs="Times New Roman"/>
          <w:b/>
          <w:sz w:val="20"/>
          <w:szCs w:val="20"/>
        </w:rPr>
      </w:pPr>
    </w:p>
    <w:p w14:paraId="36839103"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705EF235" w14:textId="77777777" w:rsidR="00737CAF" w:rsidRPr="009A5D04" w:rsidRDefault="00737CAF" w:rsidP="00737CAF">
      <w:pPr>
        <w:pStyle w:val="NoSpacing"/>
        <w:rPr>
          <w:rFonts w:eastAsia="Times New Roman" w:cs="Times New Roman"/>
          <w:b/>
          <w:color w:val="000000"/>
          <w:sz w:val="20"/>
          <w:szCs w:val="20"/>
          <w:lang w:val="en-US"/>
        </w:rPr>
      </w:pPr>
    </w:p>
    <w:p w14:paraId="057EDE75"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14:paraId="6F28E413" w14:textId="77777777" w:rsidR="00737CAF" w:rsidRPr="009A5D04" w:rsidRDefault="00737CAF" w:rsidP="00737CAF">
      <w:pPr>
        <w:pStyle w:val="NoSpacing"/>
        <w:jc w:val="both"/>
        <w:rPr>
          <w:rFonts w:cs="Times New Roman"/>
          <w:b/>
          <w:sz w:val="20"/>
          <w:szCs w:val="20"/>
        </w:rPr>
      </w:pPr>
    </w:p>
    <w:p w14:paraId="0EC2A83D"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5CBCDF09" w14:textId="77777777" w:rsidR="00737CAF" w:rsidRPr="009A5D04" w:rsidRDefault="00737CAF" w:rsidP="00737CAF">
      <w:pPr>
        <w:pStyle w:val="NoSpacing"/>
        <w:rPr>
          <w:rFonts w:eastAsia="Times New Roman" w:cs="Times New Roman"/>
          <w:color w:val="000000"/>
          <w:sz w:val="20"/>
          <w:szCs w:val="20"/>
          <w:lang w:val="en-US"/>
        </w:rPr>
      </w:pPr>
    </w:p>
    <w:p w14:paraId="54C542EC"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2EA52BBB" w14:textId="77777777" w:rsidR="00AF108C" w:rsidRPr="009A5D04" w:rsidRDefault="00AF108C" w:rsidP="00737CAF">
      <w:pPr>
        <w:pStyle w:val="NoSpacing"/>
        <w:rPr>
          <w:rFonts w:cs="Times New Roman"/>
          <w:b/>
          <w:sz w:val="20"/>
          <w:szCs w:val="20"/>
        </w:rPr>
      </w:pPr>
    </w:p>
    <w:p w14:paraId="118B702A"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2D5ABCD2" w14:textId="77777777" w:rsidR="00737CAF" w:rsidRPr="009A5D04" w:rsidRDefault="00BC0937" w:rsidP="00737CAF">
      <w:pPr>
        <w:pStyle w:val="NoSpacing"/>
        <w:rPr>
          <w:rFonts w:cs="Times New Roman"/>
          <w:sz w:val="20"/>
          <w:szCs w:val="20"/>
        </w:rPr>
      </w:pPr>
      <w:hyperlink r:id="rId13" w:history="1">
        <w:r w:rsidR="00737CAF" w:rsidRPr="009A5D04">
          <w:rPr>
            <w:rStyle w:val="Hyperlink"/>
            <w:rFonts w:cs="Times New Roman"/>
            <w:sz w:val="20"/>
            <w:szCs w:val="20"/>
          </w:rPr>
          <w:t>In Ethiopia, church bells ring for women and girls</w:t>
        </w:r>
      </w:hyperlink>
    </w:p>
    <w:p w14:paraId="0D0A9BA9" w14:textId="77777777" w:rsidR="00737CAF" w:rsidRPr="009A5D04" w:rsidRDefault="00BC0937" w:rsidP="00737CAF">
      <w:pPr>
        <w:pStyle w:val="NoSpacing"/>
        <w:rPr>
          <w:rFonts w:cs="Times New Roman"/>
          <w:color w:val="000000"/>
          <w:sz w:val="20"/>
          <w:szCs w:val="20"/>
          <w:shd w:val="clear" w:color="auto" w:fill="FFFFFF"/>
        </w:rPr>
      </w:pPr>
      <w:hyperlink r:id="rId14"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6B024DED" w14:textId="77777777" w:rsidR="00737CAF" w:rsidRPr="009A5D04" w:rsidRDefault="00BC0937" w:rsidP="00737CAF">
      <w:pPr>
        <w:pStyle w:val="NoSpacing"/>
        <w:rPr>
          <w:rFonts w:cs="Times New Roman"/>
          <w:color w:val="000000"/>
          <w:sz w:val="20"/>
          <w:szCs w:val="20"/>
          <w:shd w:val="clear" w:color="auto" w:fill="FFFFFF"/>
        </w:rPr>
      </w:pPr>
      <w:hyperlink r:id="rId15" w:history="1">
        <w:r w:rsidR="00737CAF" w:rsidRPr="009A5D04">
          <w:rPr>
            <w:rStyle w:val="Hyperlink"/>
            <w:rFonts w:cs="Times New Roman"/>
            <w:sz w:val="20"/>
            <w:szCs w:val="20"/>
            <w:shd w:val="clear" w:color="auto" w:fill="FFFFFF"/>
          </w:rPr>
          <w:t>New law in Kyrgyzstan toughens penalties for bride kidnapping</w:t>
        </w:r>
      </w:hyperlink>
    </w:p>
    <w:p w14:paraId="52746B64" w14:textId="77777777" w:rsidR="00737CAF" w:rsidRPr="009A5D04" w:rsidRDefault="00737CAF" w:rsidP="00737CAF">
      <w:pPr>
        <w:pStyle w:val="NoSpacing"/>
        <w:rPr>
          <w:rFonts w:cs="Times New Roman"/>
          <w:sz w:val="20"/>
          <w:szCs w:val="20"/>
        </w:rPr>
      </w:pPr>
    </w:p>
    <w:p w14:paraId="5748C38D" w14:textId="77777777" w:rsidR="00754378" w:rsidRDefault="00754378" w:rsidP="00737CAF">
      <w:pPr>
        <w:pStyle w:val="NoSpacing"/>
        <w:rPr>
          <w:rFonts w:cs="Times New Roman"/>
          <w:b/>
          <w:sz w:val="20"/>
          <w:szCs w:val="20"/>
        </w:rPr>
      </w:pPr>
    </w:p>
    <w:p w14:paraId="1D82EB77" w14:textId="77777777" w:rsidR="00754378" w:rsidRDefault="00754378" w:rsidP="00737CAF">
      <w:pPr>
        <w:pStyle w:val="NoSpacing"/>
        <w:rPr>
          <w:rFonts w:cs="Times New Roman"/>
          <w:b/>
          <w:sz w:val="20"/>
          <w:szCs w:val="20"/>
        </w:rPr>
      </w:pPr>
    </w:p>
    <w:p w14:paraId="428FF5A5" w14:textId="77777777" w:rsidR="00754378" w:rsidRDefault="00754378" w:rsidP="00737CAF">
      <w:pPr>
        <w:pStyle w:val="NoSpacing"/>
        <w:rPr>
          <w:rFonts w:cs="Times New Roman"/>
          <w:b/>
          <w:sz w:val="20"/>
          <w:szCs w:val="20"/>
        </w:rPr>
      </w:pPr>
    </w:p>
    <w:p w14:paraId="27CF845F" w14:textId="77777777"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14:paraId="5F160AA6" w14:textId="77777777" w:rsidR="00754378" w:rsidRDefault="00754378" w:rsidP="00737CAF">
      <w:pPr>
        <w:pStyle w:val="NoSpacing"/>
        <w:rPr>
          <w:rFonts w:cs="Times New Roman"/>
          <w:sz w:val="20"/>
          <w:szCs w:val="20"/>
        </w:rPr>
      </w:pPr>
    </w:p>
    <w:p w14:paraId="6BA36FD9" w14:textId="77777777" w:rsidR="00754378" w:rsidRDefault="00754378" w:rsidP="00737CAF">
      <w:pPr>
        <w:pStyle w:val="NoSpacing"/>
        <w:rPr>
          <w:rFonts w:cs="Times New Roman"/>
          <w:sz w:val="20"/>
          <w:szCs w:val="20"/>
        </w:rPr>
      </w:pPr>
    </w:p>
    <w:p w14:paraId="7806C719" w14:textId="77777777" w:rsidR="00754378" w:rsidRDefault="00754378" w:rsidP="00737CAF">
      <w:pPr>
        <w:pStyle w:val="NoSpacing"/>
        <w:rPr>
          <w:rFonts w:cs="Times New Roman"/>
          <w:sz w:val="20"/>
          <w:szCs w:val="20"/>
        </w:rPr>
      </w:pPr>
    </w:p>
    <w:p w14:paraId="3711003F" w14:textId="77777777" w:rsidR="00754378" w:rsidRDefault="00754378" w:rsidP="00737CAF">
      <w:pPr>
        <w:pStyle w:val="NoSpacing"/>
        <w:rPr>
          <w:rFonts w:cs="Times New Roman"/>
          <w:sz w:val="20"/>
          <w:szCs w:val="20"/>
        </w:rPr>
      </w:pPr>
    </w:p>
    <w:p w14:paraId="22433599"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076BF7B7" w14:textId="77777777" w:rsidR="00737CAF" w:rsidRPr="009A5D04" w:rsidRDefault="00737CAF" w:rsidP="00737CAF">
      <w:pPr>
        <w:spacing w:after="0" w:line="240" w:lineRule="auto"/>
        <w:rPr>
          <w:rFonts w:cs="Times New Roman"/>
          <w:sz w:val="20"/>
          <w:szCs w:val="20"/>
        </w:rPr>
      </w:pPr>
    </w:p>
    <w:p w14:paraId="540AE5BF"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6" w:history="1">
        <w:r w:rsidRPr="009A5D04">
          <w:rPr>
            <w:rStyle w:val="Hyperlink"/>
            <w:rFonts w:cs="Times New Roman"/>
            <w:sz w:val="20"/>
            <w:szCs w:val="20"/>
            <w:shd w:val="clear" w:color="auto" w:fill="FFFFFF"/>
          </w:rPr>
          <w:t>Healing unseen wounds in Mogadishu</w:t>
        </w:r>
      </w:hyperlink>
    </w:p>
    <w:p w14:paraId="411CA80E" w14:textId="77777777" w:rsidR="00737CAF" w:rsidRPr="009A5D04" w:rsidRDefault="00BC0937" w:rsidP="00737CAF">
      <w:pPr>
        <w:pStyle w:val="NoSpacing"/>
        <w:rPr>
          <w:rFonts w:cs="Times New Roman"/>
          <w:sz w:val="20"/>
          <w:szCs w:val="20"/>
          <w:shd w:val="clear" w:color="auto" w:fill="FFFFFF"/>
        </w:rPr>
      </w:pPr>
      <w:hyperlink r:id="rId17"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0367E87F"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444F0795"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26E2C8DB"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65403859"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6BBE9069"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8B7036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00B7364"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0256BAC5"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5447B95C"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5E9ED531" w14:textId="77777777" w:rsidR="00AF108C" w:rsidRPr="009A5D04" w:rsidRDefault="00AF108C" w:rsidP="00737CAF">
      <w:pPr>
        <w:pStyle w:val="NoSpacing"/>
        <w:ind w:right="-180"/>
        <w:rPr>
          <w:rFonts w:eastAsia="Times New Roman" w:cs="Times New Roman"/>
          <w:color w:val="000000"/>
          <w:sz w:val="20"/>
          <w:szCs w:val="20"/>
        </w:rPr>
      </w:pPr>
    </w:p>
    <w:p w14:paraId="0E659052"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14:paraId="695E5342" w14:textId="77777777" w:rsidR="00737CAF" w:rsidRPr="009A5D04" w:rsidRDefault="00737CAF" w:rsidP="00737CAF">
      <w:pPr>
        <w:pStyle w:val="NoSpacing"/>
        <w:rPr>
          <w:rFonts w:cs="Times New Roman"/>
          <w:b/>
          <w:sz w:val="20"/>
          <w:szCs w:val="20"/>
        </w:rPr>
      </w:pPr>
    </w:p>
    <w:p w14:paraId="62ACF107"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8"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9"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1FA78285" w14:textId="77777777" w:rsidR="00737CAF" w:rsidRPr="009A5D04" w:rsidRDefault="00737CAF">
      <w:pPr>
        <w:rPr>
          <w:rFonts w:cstheme="minorHAnsi"/>
          <w:color w:val="0070C0"/>
          <w:sz w:val="20"/>
          <w:szCs w:val="20"/>
        </w:rPr>
      </w:pPr>
    </w:p>
    <w:sectPr w:rsidR="00737CAF" w:rsidRPr="009A5D04" w:rsidSect="00C66603">
      <w:headerReference w:type="default" r:id="rId20"/>
      <w:pgSz w:w="15840" w:h="12240" w:orient="landscape"/>
      <w:pgMar w:top="720" w:right="720" w:bottom="3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Vashakidze" w:date="2017-11-22T17:57:00Z" w:initials="TV">
    <w:p w14:paraId="22E264A7" w14:textId="77777777" w:rsidR="00690F4B" w:rsidRPr="00690F4B" w:rsidRDefault="00690F4B">
      <w:pPr>
        <w:pStyle w:val="CommentText"/>
        <w:rPr>
          <w:rFonts w:ascii="Sylfaen" w:hAnsi="Sylfaen"/>
        </w:rPr>
      </w:pPr>
      <w:r>
        <w:rPr>
          <w:rStyle w:val="CommentReference"/>
        </w:rPr>
        <w:annotationRef/>
      </w:r>
      <w:r>
        <w:rPr>
          <w:rFonts w:ascii="Sylfaen" w:hAnsi="Sylfaen"/>
        </w:rPr>
        <w:t>Please insert reporting period dates</w:t>
      </w:r>
    </w:p>
  </w:comment>
  <w:comment w:id="1" w:author="Tamar Vashakidze" w:date="2017-11-22T17:57:00Z" w:initials="TV">
    <w:p w14:paraId="623C1E2D" w14:textId="77777777" w:rsidR="00690F4B" w:rsidRDefault="00690F4B">
      <w:pPr>
        <w:pStyle w:val="CommentText"/>
      </w:pPr>
      <w:r>
        <w:rPr>
          <w:rStyle w:val="CommentReference"/>
        </w:rPr>
        <w:annotationRef/>
      </w:r>
      <w:r>
        <w:t>Please provide info on these activity indicators. (0 where appropriate)</w:t>
      </w:r>
    </w:p>
  </w:comment>
  <w:comment w:id="2" w:author="Tamar Vashakidze" w:date="2017-11-22T18:03:00Z" w:initials="TV">
    <w:p w14:paraId="375E9770" w14:textId="77777777" w:rsidR="00690F4B" w:rsidRPr="00690F4B" w:rsidRDefault="00690F4B">
      <w:pPr>
        <w:pStyle w:val="CommentText"/>
        <w:rPr>
          <w:rFonts w:ascii="Sylfaen" w:hAnsi="Sylfaen"/>
          <w:lang w:val="ka-GE"/>
        </w:rPr>
      </w:pPr>
      <w:r>
        <w:rPr>
          <w:rStyle w:val="CommentReference"/>
        </w:rPr>
        <w:annotationRef/>
      </w:r>
      <w:r>
        <w:rPr>
          <w:rFonts w:ascii="Sylfaen" w:hAnsi="Sylfaen"/>
          <w:lang w:val="ka-GE"/>
        </w:rPr>
        <w:t xml:space="preserve">ამ ნაწი₾ში იწერება ის პრობლემები და გამოწვევები, რაც პროექტს ჰქნდა. იქნებ რელევანტურ გრაფაში მოკლედ აღვწეროთ ის პროცესი, როცა ტენდერი რამდენჯერმე ჩაიშალა და შესაბამისად შეფერხდა აქტივობა. </w:t>
      </w:r>
      <w:bookmarkStart w:id="3" w:name="_GoBack"/>
      <w:bookmarkEnd w:id="3"/>
    </w:p>
  </w:comment>
  <w:comment w:id="4" w:author="Tamar Vashakidze" w:date="2017-11-22T17:58:00Z" w:initials="TV">
    <w:p w14:paraId="42E47D87" w14:textId="77777777" w:rsidR="00690F4B" w:rsidRDefault="00690F4B">
      <w:pPr>
        <w:pStyle w:val="CommentText"/>
      </w:pPr>
      <w:r>
        <w:rPr>
          <w:rStyle w:val="CommentReference"/>
        </w:rPr>
        <w:annotationRef/>
      </w:r>
      <w:r>
        <w:t>Please indicate when the training is expected to take place</w:t>
      </w:r>
    </w:p>
  </w:comment>
  <w:comment w:id="5" w:author="Tamar Vashakidze" w:date="2017-11-22T17:59:00Z" w:initials="TV">
    <w:p w14:paraId="52B075B7" w14:textId="77777777" w:rsidR="00690F4B" w:rsidRDefault="00690F4B">
      <w:pPr>
        <w:pStyle w:val="CommentText"/>
      </w:pPr>
      <w:r>
        <w:rPr>
          <w:rStyle w:val="CommentReference"/>
        </w:rPr>
        <w:annotationRef/>
      </w:r>
      <w:r>
        <w:t xml:space="preserve">Please give more details about the development process such as e.g. who were consulted in the program development? What will the program envisage (for example linking survivors with VETs and </w:t>
      </w:r>
      <w:proofErr w:type="gramStart"/>
      <w:r>
        <w:t>alike).</w:t>
      </w:r>
      <w:proofErr w:type="gramEnd"/>
      <w:r>
        <w:t xml:space="preserve"> Also, when was the expert hired. Also, a brief outline of the project, in other words, what components it will entail. </w:t>
      </w:r>
    </w:p>
  </w:comment>
  <w:comment w:id="6" w:author="Tamar Vashakidze" w:date="2017-11-22T18:00:00Z" w:initials="TV">
    <w:p w14:paraId="56A0C6DE" w14:textId="77777777" w:rsidR="00690F4B" w:rsidRDefault="00690F4B">
      <w:pPr>
        <w:pStyle w:val="CommentText"/>
      </w:pPr>
      <w:r>
        <w:rPr>
          <w:rStyle w:val="CommentReference"/>
        </w:rPr>
        <w:annotationRef/>
      </w:r>
      <w:r>
        <w:t xml:space="preserve">Please attach needs assessment report and market research report </w:t>
      </w:r>
    </w:p>
  </w:comment>
  <w:comment w:id="7" w:author="Tamar Vashakidze" w:date="2017-11-22T18:02:00Z" w:initials="TV">
    <w:p w14:paraId="70FA273C" w14:textId="77777777" w:rsidR="00690F4B" w:rsidRDefault="00690F4B">
      <w:pPr>
        <w:pStyle w:val="CommentText"/>
      </w:pPr>
      <w:r>
        <w:rPr>
          <w:rStyle w:val="CommentReference"/>
        </w:rPr>
        <w:annotationRef/>
      </w:r>
      <w:r>
        <w:t>This activity description doesn’t fit with the milestone (meetings with employers). Please streamline</w:t>
      </w:r>
    </w:p>
  </w:comment>
  <w:comment w:id="8" w:author="Tamar Vashakidze" w:date="2017-11-22T18:02:00Z" w:initials="TV">
    <w:p w14:paraId="47C01AEA" w14:textId="77777777" w:rsidR="00690F4B" w:rsidRDefault="00690F4B">
      <w:pPr>
        <w:pStyle w:val="CommentText"/>
      </w:pPr>
      <w:r>
        <w:rPr>
          <w:rStyle w:val="CommentReference"/>
        </w:rPr>
        <w:annotationRef/>
      </w:r>
      <w:r>
        <w:t>Please describe in a short paragraph what the social rehabilitation guidelines entail and how they will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264A7" w15:done="0"/>
  <w15:commentEx w15:paraId="623C1E2D" w15:done="0"/>
  <w15:commentEx w15:paraId="375E9770" w15:done="0"/>
  <w15:commentEx w15:paraId="42E47D87" w15:done="0"/>
  <w15:commentEx w15:paraId="52B075B7" w15:done="0"/>
  <w15:commentEx w15:paraId="56A0C6DE" w15:done="0"/>
  <w15:commentEx w15:paraId="70FA273C" w15:done="0"/>
  <w15:commentEx w15:paraId="47C01AE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46DDE" w14:textId="77777777" w:rsidR="00BC0937" w:rsidRDefault="00BC0937" w:rsidP="005D2A6C">
      <w:pPr>
        <w:spacing w:after="0" w:line="240" w:lineRule="auto"/>
      </w:pPr>
      <w:r>
        <w:separator/>
      </w:r>
    </w:p>
  </w:endnote>
  <w:endnote w:type="continuationSeparator" w:id="0">
    <w:p w14:paraId="48178EDD" w14:textId="77777777" w:rsidR="00BC0937" w:rsidRDefault="00BC0937"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E79B" w14:textId="77777777" w:rsidR="00BC0937" w:rsidRDefault="00BC0937" w:rsidP="005D2A6C">
      <w:pPr>
        <w:spacing w:after="0" w:line="240" w:lineRule="auto"/>
      </w:pPr>
      <w:r>
        <w:separator/>
      </w:r>
    </w:p>
  </w:footnote>
  <w:footnote w:type="continuationSeparator" w:id="0">
    <w:p w14:paraId="7A68F6C5" w14:textId="77777777" w:rsidR="00BC0937" w:rsidRDefault="00BC0937" w:rsidP="005D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575E" w14:textId="77777777" w:rsidR="005D2A6C" w:rsidRDefault="00754378">
    <w:pPr>
      <w:pStyle w:val="Header"/>
    </w:pPr>
    <w:r w:rsidRPr="009A5D04">
      <w:rPr>
        <w:noProof/>
        <w:sz w:val="20"/>
        <w:szCs w:val="20"/>
      </w:rPr>
      <w:drawing>
        <wp:anchor distT="0" distB="0" distL="114300" distR="114300" simplePos="0" relativeHeight="251661312" behindDoc="0" locked="0" layoutInCell="1" allowOverlap="1" wp14:anchorId="0A8915E9" wp14:editId="481A40FE">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anchor>
      </w:drawing>
    </w:r>
    <w:r w:rsidR="005D2A6C">
      <w:rPr>
        <w:b/>
        <w:noProof/>
      </w:rPr>
      <w:drawing>
        <wp:anchor distT="0" distB="0" distL="114300" distR="114300" simplePos="0" relativeHeight="251659264" behindDoc="1" locked="0" layoutInCell="1" allowOverlap="1" wp14:anchorId="323C36B4" wp14:editId="4B0B567B">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5"/>
  </w:num>
  <w:num w:numId="6">
    <w:abstractNumId w:val="3"/>
  </w:num>
  <w:num w:numId="7">
    <w:abstractNumId w:val="1"/>
  </w:num>
  <w:num w:numId="8">
    <w:abstractNumId w:val="7"/>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67"/>
    <w:rsid w:val="00013396"/>
    <w:rsid w:val="00020B6E"/>
    <w:rsid w:val="0003655A"/>
    <w:rsid w:val="00095E34"/>
    <w:rsid w:val="000C0803"/>
    <w:rsid w:val="00167F82"/>
    <w:rsid w:val="001A48BF"/>
    <w:rsid w:val="001B3F22"/>
    <w:rsid w:val="002B29F4"/>
    <w:rsid w:val="0030277F"/>
    <w:rsid w:val="00365B1C"/>
    <w:rsid w:val="003A2EA6"/>
    <w:rsid w:val="003D313B"/>
    <w:rsid w:val="00404921"/>
    <w:rsid w:val="0040751A"/>
    <w:rsid w:val="00477B36"/>
    <w:rsid w:val="0048006C"/>
    <w:rsid w:val="004B23CA"/>
    <w:rsid w:val="005D2A6C"/>
    <w:rsid w:val="00623060"/>
    <w:rsid w:val="00626391"/>
    <w:rsid w:val="00690F4B"/>
    <w:rsid w:val="006D53E4"/>
    <w:rsid w:val="006E5D62"/>
    <w:rsid w:val="00737CAF"/>
    <w:rsid w:val="00746C7D"/>
    <w:rsid w:val="00752767"/>
    <w:rsid w:val="00754378"/>
    <w:rsid w:val="00834FAE"/>
    <w:rsid w:val="00842718"/>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2170"/>
    <w:rsid w:val="00A23DF6"/>
    <w:rsid w:val="00A46129"/>
    <w:rsid w:val="00A61CE0"/>
    <w:rsid w:val="00AB2D7B"/>
    <w:rsid w:val="00AD3A86"/>
    <w:rsid w:val="00AD408F"/>
    <w:rsid w:val="00AF108C"/>
    <w:rsid w:val="00AF566E"/>
    <w:rsid w:val="00B879CF"/>
    <w:rsid w:val="00BC0937"/>
    <w:rsid w:val="00C25363"/>
    <w:rsid w:val="00C6185F"/>
    <w:rsid w:val="00C66603"/>
    <w:rsid w:val="00D152D8"/>
    <w:rsid w:val="00D540BA"/>
    <w:rsid w:val="00D7684E"/>
    <w:rsid w:val="00DA41DE"/>
    <w:rsid w:val="00E6076D"/>
    <w:rsid w:val="00E8434A"/>
    <w:rsid w:val="00E861DE"/>
    <w:rsid w:val="00EE5594"/>
    <w:rsid w:val="00EF6308"/>
    <w:rsid w:val="00F12B69"/>
    <w:rsid w:val="00F329ED"/>
    <w:rsid w:val="00F8319D"/>
    <w:rsid w:val="00FB0E91"/>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C583C"/>
  <w15:docId w15:val="{023AB867-E219-4BB4-BDD1-ACE807B3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women.org/en/news/stories/2013/10/in-ethiopia-church-bells-ring-for-women-and-girls" TargetMode="External"/><Relationship Id="rId18" Type="http://schemas.openxmlformats.org/officeDocument/2006/relationships/hyperlink" Target="http://www.wetransf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amar.vashakidze@unwomen.org" TargetMode="External"/><Relationship Id="rId17"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numbering" Target="numbering.xml"/><Relationship Id="rId16" Type="http://schemas.openxmlformats.org/officeDocument/2006/relationships/hyperlink" Target="http://www.unwomen.org/en/news/stories/2013/8/somalia-trauma-healing-proje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japharidze@unwomen.org" TargetMode="External"/><Relationship Id="rId5" Type="http://schemas.openxmlformats.org/officeDocument/2006/relationships/webSettings" Target="webSettings.xml"/><Relationship Id="rId15" Type="http://schemas.openxmlformats.org/officeDocument/2006/relationships/hyperlink" Target="http://www.unwomen.org/2013/02/new-law-in-kyrgyzstan-toughens-penalties-for-bride-kidnapping/" TargetMode="External"/><Relationship Id="rId23" Type="http://schemas.openxmlformats.org/officeDocument/2006/relationships/theme" Target="theme/theme1.xml"/><Relationship Id="rId10" Type="http://schemas.openxmlformats.org/officeDocument/2006/relationships/hyperlink" Target="mailto:Gvantsa.asatiani@unwomen.org" TargetMode="External"/><Relationship Id="rId19" Type="http://schemas.openxmlformats.org/officeDocument/2006/relationships/hyperlink" Target="mailto:Gvantsa.asatiani@unwomen.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unwomen.org/en/news/stories/2013/8/pakistan-elections-featur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DA5D-E111-4C09-9994-4081F3DF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Tamar Vashakidze</cp:lastModifiedBy>
  <cp:revision>2</cp:revision>
  <cp:lastPrinted>2016-07-26T06:27:00Z</cp:lastPrinted>
  <dcterms:created xsi:type="dcterms:W3CDTF">2017-11-22T14:04:00Z</dcterms:created>
  <dcterms:modified xsi:type="dcterms:W3CDTF">2017-11-22T14:04:00Z</dcterms:modified>
</cp:coreProperties>
</file>